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674B1A">
        <w:rPr>
          <w:b/>
          <w:sz w:val="22"/>
          <w:szCs w:val="22"/>
        </w:rPr>
        <w:t xml:space="preserve"> </w:t>
      </w:r>
      <w:r w:rsidR="00674B1A" w:rsidRPr="00674B1A">
        <w:rPr>
          <w:sz w:val="22"/>
          <w:szCs w:val="22"/>
        </w:rPr>
        <w:t>(начальник отдела МРСК)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785"/>
        <w:gridCol w:w="77"/>
        <w:gridCol w:w="3467"/>
        <w:gridCol w:w="97"/>
        <w:gridCol w:w="91"/>
        <w:gridCol w:w="1998"/>
        <w:gridCol w:w="2116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D62810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3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62810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D62810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3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D62810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D62810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2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0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D62810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4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67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9" w:type="pct"/>
            <w:gridSpan w:val="3"/>
          </w:tcPr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«Поддержание и развитие отношений с клиентами» </w:t>
            </w:r>
          </w:p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КЭ-П-ПЭ-01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59" w:type="pct"/>
            <w:gridSpan w:val="3"/>
          </w:tcPr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</w:p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«Участие в конкурсах» КЭ-П-ПЭ10-01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Заключение договоров на поставку продукции и услуг,  контроль их выполнения  КЭ-П-ПЭ2-01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«Управление запасами»  КЭ-П-СЛ-01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«Управление ценообразованием»  КЭ-П-ПЭО-03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8F498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«Реализация проектов АСКУЭ»  КЭ-П-ПА1-01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«Сбор и анализ данных о продукции конкурентов»  КЭ-П-МАО-02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«Сбор и анализ  данных о маркетинговых  действиях конкурентов и долевом распределении рынков» КЭ-П-МАО-03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«Подготовка и проведение выставок и семинаров»  КЭ-П-МР3-01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Сбор данных о степени удовлетворенности клиентов уровнем продуктов и услуг КЭ-П-МАО-01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«Дифференциация и продвижение персонала» КЭ-П-УП4-04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674B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«Рабочая инструкция начальника отдела продаж департамента электротехнической продукции» КЭ-И-ПЭ6-02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674B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A21F38">
              <w:rPr>
                <w:color w:val="000000"/>
              </w:rPr>
              <w:t>Инструкция «Формирование среднесрочного прогноза продаж» КЭ-И-ПЭ6-01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D62810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«Контроль исполнения условий договора»  КЭ-И-ЮР1-07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Инструкция  по организации и поддержке менеджмента большой энергетики в проведении их тематических мероприятий КЭ-И-ПЭ-07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Инструкция «Порядок выдачи заданий и получение отчетов по командировкам» КЭ-И-ПЭ2-01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«Инструкция о порядке разработки, согласования, регистрации и хранении договоров АО «</w:t>
            </w:r>
            <w:proofErr w:type="spell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 КЭ-И-ЮР1-04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«Инструкция о порядке взыскания дебиторской задолженности»  КЭ-И-ЮР1-03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59" w:type="pct"/>
            <w:gridSpan w:val="3"/>
          </w:tcPr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>«Управление дебиторской и кредиторской задолженностью»  КЭ-И-БУХ1-18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59" w:type="pct"/>
            <w:gridSpan w:val="3"/>
          </w:tcPr>
          <w:p w:rsidR="00D62810" w:rsidRPr="00BF4196" w:rsidRDefault="00D62810" w:rsidP="00F572F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BF4196">
              <w:rPr>
                <w:color w:val="000000"/>
              </w:rPr>
              <w:t xml:space="preserve">             </w:t>
            </w:r>
            <w:r w:rsidRPr="00A21F38">
              <w:rPr>
                <w:color w:val="000000"/>
              </w:rPr>
              <w:t>Порядок  разработки, внесения изменений, хранения и архивации документов Системы менеджмента качества  КЭ-И-ОУК-03, Инструкция о порядке проведения корректирующих и предупреждающих действий КЭ-И-ОУК, Порядок оформления процессов и инструкций КЭ-И-ОУК-05, «Анализ Системы менеджмента качества со стороны руководства» КЭ-И-ОУК-06, «Инструкция по оформлению «Справки об эффективности процессов (рабочих инструкций) Системы менеджмента качества»</w:t>
            </w:r>
            <w:r w:rsidRPr="00BF4196">
              <w:rPr>
                <w:color w:val="000000"/>
              </w:rPr>
              <w:t xml:space="preserve"> </w:t>
            </w:r>
            <w:r w:rsidRPr="00A21F38">
              <w:rPr>
                <w:color w:val="000000"/>
              </w:rPr>
              <w:t>КЭ-И-ОУК-11</w:t>
            </w:r>
          </w:p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«Порядок проведения обучения и оказания методической помощи при повышении квалификации» КЭ-И-УП3-03, </w:t>
            </w:r>
          </w:p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«Инструкции по пропускному и внутри объектовому режиму офиса ОАО «Концерн </w:t>
            </w:r>
            <w:proofErr w:type="spell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КЭ-И-ЧОП-07,</w:t>
            </w:r>
          </w:p>
          <w:p w:rsidR="00D62810" w:rsidRPr="00A21F3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A21F38">
              <w:rPr>
                <w:color w:val="000000"/>
              </w:rPr>
              <w:t xml:space="preserve"> «Инструкция по соблюдению правил пожарной безопасности в офисе ОАО «Концерн </w:t>
            </w:r>
            <w:proofErr w:type="spellStart"/>
            <w:r w:rsidRPr="00A21F38">
              <w:rPr>
                <w:color w:val="000000"/>
              </w:rPr>
              <w:t>Энергомера</w:t>
            </w:r>
            <w:proofErr w:type="spellEnd"/>
            <w:r w:rsidRPr="00A21F38">
              <w:rPr>
                <w:color w:val="000000"/>
              </w:rPr>
              <w:t>» КЭ-И-ЧОП-08</w:t>
            </w:r>
          </w:p>
        </w:tc>
        <w:tc>
          <w:tcPr>
            <w:tcW w:w="1242" w:type="pct"/>
            <w:gridSpan w:val="3"/>
            <w:vAlign w:val="center"/>
          </w:tcPr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D62810" w:rsidRPr="00714CB2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pct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9" w:type="pct"/>
            <w:gridSpan w:val="3"/>
          </w:tcPr>
          <w:p w:rsidR="00D62810" w:rsidRPr="00FC1FA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7A6664">
              <w:rPr>
                <w:color w:val="000000"/>
              </w:rPr>
              <w:t>«Рабочая инструкция менеджера по сопровождению клиентов ДЭП»  КЭ-И-ПЭ-06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8F4988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8F498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59" w:type="pct"/>
            <w:gridSpan w:val="3"/>
          </w:tcPr>
          <w:p w:rsidR="00D62810" w:rsidRPr="00FC1FA0" w:rsidRDefault="00D62810" w:rsidP="00F572F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7A6664">
              <w:rPr>
                <w:color w:val="000000"/>
              </w:rPr>
              <w:t>«Рабочая инструкция  менеджера по продажам  департамента электротехнической продукции» КЭ-И-ПЭ-02</w:t>
            </w:r>
          </w:p>
        </w:tc>
        <w:tc>
          <w:tcPr>
            <w:tcW w:w="1242" w:type="pct"/>
            <w:gridSpan w:val="3"/>
            <w:vAlign w:val="center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4B1A" w:rsidRPr="00714CB2" w:rsidTr="00D62810">
        <w:tc>
          <w:tcPr>
            <w:tcW w:w="201" w:type="pct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159" w:type="pct"/>
            <w:gridSpan w:val="3"/>
            <w:vAlign w:val="center"/>
          </w:tcPr>
          <w:p w:rsidR="00674B1A" w:rsidRPr="00FC1FA0" w:rsidRDefault="00674B1A" w:rsidP="00F572F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42" w:type="pct"/>
            <w:gridSpan w:val="3"/>
            <w:vAlign w:val="center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7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9" w:type="pct"/>
          </w:tcPr>
          <w:p w:rsidR="00674B1A" w:rsidRPr="00714CB2" w:rsidRDefault="00674B1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D62810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3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9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4451CA" w:rsidRDefault="00D62810" w:rsidP="00F572FA">
            <w:bookmarkStart w:id="0" w:name="_GoBack" w:colFirst="2" w:colLast="2"/>
            <w:r>
              <w:t>1</w:t>
            </w:r>
          </w:p>
        </w:tc>
        <w:tc>
          <w:tcPr>
            <w:tcW w:w="2133" w:type="pct"/>
            <w:gridSpan w:val="2"/>
          </w:tcPr>
          <w:p w:rsidR="00D62810" w:rsidRPr="00A21F38" w:rsidRDefault="00D62810" w:rsidP="00F572FA">
            <w:r w:rsidRPr="00A21F38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D62810" w:rsidRPr="00A21F38" w:rsidRDefault="00D62810" w:rsidP="00F572FA">
            <w:r w:rsidRPr="00A21F38">
              <w:t>Определение потенциала рынка региона по типам продукции.</w:t>
            </w:r>
          </w:p>
          <w:p w:rsidR="00D62810" w:rsidRPr="00A21F38" w:rsidRDefault="00D62810" w:rsidP="00F572FA">
            <w:r w:rsidRPr="00A21F38">
              <w:t>Выявление потенциальных клиентов, определение их перспективных потребностей.</w:t>
            </w:r>
          </w:p>
          <w:p w:rsidR="00D62810" w:rsidRPr="00A21F38" w:rsidRDefault="00D62810" w:rsidP="00F572FA">
            <w:r w:rsidRPr="00A21F38">
              <w:t>Формирование и оценка достоверности прогнозов продаж</w:t>
            </w:r>
          </w:p>
        </w:tc>
        <w:tc>
          <w:tcPr>
            <w:tcW w:w="1204" w:type="pct"/>
            <w:gridSpan w:val="2"/>
            <w:vAlign w:val="center"/>
          </w:tcPr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3" w:type="pct"/>
            <w:gridSpan w:val="3"/>
            <w:vAlign w:val="center"/>
          </w:tcPr>
          <w:p w:rsidR="00D62810" w:rsidRPr="00714CB2" w:rsidRDefault="00D6281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9" w:type="pct"/>
          </w:tcPr>
          <w:p w:rsidR="00D62810" w:rsidRPr="00714CB2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4451CA" w:rsidRDefault="00D62810" w:rsidP="00F572FA">
            <w:r>
              <w:t>2</w:t>
            </w:r>
          </w:p>
        </w:tc>
        <w:tc>
          <w:tcPr>
            <w:tcW w:w="2133" w:type="pct"/>
            <w:gridSpan w:val="2"/>
          </w:tcPr>
          <w:p w:rsidR="00D62810" w:rsidRPr="00A21F38" w:rsidRDefault="00D62810" w:rsidP="00F572FA">
            <w:r w:rsidRPr="00A21F38">
              <w:t xml:space="preserve">Установление контактов с клиентами, ведение телефонных переговоров. </w:t>
            </w:r>
          </w:p>
          <w:p w:rsidR="00D62810" w:rsidRPr="00A21F38" w:rsidRDefault="00D62810" w:rsidP="00F572FA">
            <w:r w:rsidRPr="00A21F38">
              <w:t>Анализ запросов на коммерческие предложения, подготовка и направление клиентам ответов.</w:t>
            </w:r>
          </w:p>
          <w:p w:rsidR="00D62810" w:rsidRPr="00A21F38" w:rsidRDefault="00D62810" w:rsidP="00F572FA">
            <w:r w:rsidRPr="00A21F38">
              <w:t xml:space="preserve">Подготовка проектов договоров и протоколов о намерениях </w:t>
            </w:r>
          </w:p>
          <w:p w:rsidR="00D62810" w:rsidRPr="00A21F38" w:rsidRDefault="00D62810" w:rsidP="00F572FA">
            <w:r w:rsidRPr="00A21F38">
              <w:t xml:space="preserve">Дифференциация клиентской базы по типам партнеров </w:t>
            </w:r>
          </w:p>
          <w:p w:rsidR="00D62810" w:rsidRPr="00A21F38" w:rsidRDefault="00D62810" w:rsidP="00F572FA">
            <w:r w:rsidRPr="00A21F38">
              <w:t>Ведения переговоров, заключения договоров на поставку продукции.</w:t>
            </w:r>
          </w:p>
          <w:p w:rsidR="00D62810" w:rsidRPr="00A21F38" w:rsidRDefault="00D62810" w:rsidP="00F572FA">
            <w:r w:rsidRPr="00A21F38">
              <w:t xml:space="preserve">Формирование годового плана </w:t>
            </w:r>
            <w:proofErr w:type="gramStart"/>
            <w:r w:rsidRPr="00A21F38">
              <w:t>–п</w:t>
            </w:r>
            <w:proofErr w:type="gramEnd"/>
            <w:r w:rsidRPr="00A21F38">
              <w:t>рогноза продаж в регионе в 20---г.</w:t>
            </w:r>
          </w:p>
          <w:p w:rsidR="00D62810" w:rsidRPr="00A21F38" w:rsidRDefault="00D62810" w:rsidP="00F572FA">
            <w:r w:rsidRPr="00A21F38">
              <w:t xml:space="preserve">Представление директору  информации о выполнении планов  продаж </w:t>
            </w:r>
          </w:p>
          <w:p w:rsidR="00D62810" w:rsidRPr="00A21F38" w:rsidRDefault="00D62810" w:rsidP="00F572FA"/>
        </w:tc>
        <w:tc>
          <w:tcPr>
            <w:tcW w:w="1204" w:type="pct"/>
            <w:gridSpan w:val="2"/>
            <w:vAlign w:val="center"/>
          </w:tcPr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3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9" w:type="pct"/>
          </w:tcPr>
          <w:p w:rsidR="00D62810" w:rsidRPr="003A64F1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Pr="004451CA" w:rsidRDefault="00D62810" w:rsidP="00F572FA">
            <w:r>
              <w:t>3</w:t>
            </w:r>
          </w:p>
        </w:tc>
        <w:tc>
          <w:tcPr>
            <w:tcW w:w="2133" w:type="pct"/>
            <w:gridSpan w:val="2"/>
          </w:tcPr>
          <w:p w:rsidR="00D62810" w:rsidRPr="00A21F38" w:rsidRDefault="00D62810" w:rsidP="00F572FA">
            <w:r w:rsidRPr="00A21F38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D62810" w:rsidRPr="00A21F38" w:rsidRDefault="00D62810" w:rsidP="00F572FA">
            <w:r w:rsidRPr="00A21F38">
              <w:t>Изучение порядка поведения опроса и анкетирования клиентов.</w:t>
            </w:r>
          </w:p>
          <w:p w:rsidR="00D62810" w:rsidRPr="00A21F38" w:rsidRDefault="00D62810" w:rsidP="00F572FA">
            <w:r w:rsidRPr="00A21F38">
              <w:t>Изучение порядка подготовки и проведения выставок и семинаров</w:t>
            </w:r>
          </w:p>
          <w:p w:rsidR="00D62810" w:rsidRPr="00A21F38" w:rsidRDefault="00D62810" w:rsidP="00F572FA"/>
        </w:tc>
        <w:tc>
          <w:tcPr>
            <w:tcW w:w="1204" w:type="pct"/>
            <w:gridSpan w:val="2"/>
            <w:vAlign w:val="center"/>
          </w:tcPr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3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9" w:type="pct"/>
          </w:tcPr>
          <w:p w:rsidR="00D62810" w:rsidRPr="003A64F1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810" w:rsidRPr="00714CB2" w:rsidTr="00D62810">
        <w:tc>
          <w:tcPr>
            <w:tcW w:w="201" w:type="pct"/>
            <w:vAlign w:val="center"/>
          </w:tcPr>
          <w:p w:rsidR="00D62810" w:rsidRDefault="00D62810" w:rsidP="00F572FA"/>
          <w:p w:rsidR="00D62810" w:rsidRDefault="00D62810" w:rsidP="00F572FA"/>
          <w:p w:rsidR="00D62810" w:rsidRDefault="00D62810" w:rsidP="00F572FA">
            <w:r>
              <w:t>4</w:t>
            </w:r>
          </w:p>
          <w:p w:rsidR="00D62810" w:rsidRDefault="00D62810" w:rsidP="00F572FA"/>
          <w:p w:rsidR="00D62810" w:rsidRPr="004451CA" w:rsidRDefault="00D62810" w:rsidP="00F572FA"/>
        </w:tc>
        <w:tc>
          <w:tcPr>
            <w:tcW w:w="2133" w:type="pct"/>
            <w:gridSpan w:val="2"/>
          </w:tcPr>
          <w:p w:rsidR="00D62810" w:rsidRPr="00A21F38" w:rsidRDefault="00D62810" w:rsidP="00F572FA">
            <w:r w:rsidRPr="00A21F38">
              <w:t xml:space="preserve">Составление ежемесячного плана работ </w:t>
            </w:r>
          </w:p>
          <w:p w:rsidR="00D62810" w:rsidRPr="00A21F38" w:rsidRDefault="00D62810" w:rsidP="00F572FA">
            <w:r w:rsidRPr="00A21F38">
              <w:t>Составление ежемесячного отчета о выполнении плана работ.</w:t>
            </w:r>
          </w:p>
          <w:p w:rsidR="00D62810" w:rsidRPr="00545F45" w:rsidRDefault="00D62810" w:rsidP="00F572FA">
            <w:pPr>
              <w:rPr>
                <w:i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62810" w:rsidRPr="00714CB2" w:rsidRDefault="00D62810" w:rsidP="00674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3" w:type="pct"/>
            <w:gridSpan w:val="3"/>
            <w:vAlign w:val="center"/>
          </w:tcPr>
          <w:p w:rsidR="00D62810" w:rsidRPr="00714CB2" w:rsidRDefault="00D62810" w:rsidP="00F572F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9" w:type="pct"/>
          </w:tcPr>
          <w:p w:rsidR="00D62810" w:rsidRPr="003A64F1" w:rsidRDefault="00D6281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bookmarkEnd w:id="0"/>
      <w:tr w:rsidR="004F7224" w:rsidRPr="003A64F1" w:rsidTr="001F7BB1">
        <w:tc>
          <w:tcPr>
            <w:tcW w:w="5000" w:type="pct"/>
            <w:gridSpan w:val="9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9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4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74B1A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674B1A"/>
    <w:rsid w:val="009D355C"/>
    <w:rsid w:val="00AF3D12"/>
    <w:rsid w:val="00B86C8A"/>
    <w:rsid w:val="00BC3D6D"/>
    <w:rsid w:val="00CD7404"/>
    <w:rsid w:val="00D62810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suchkovma</cp:lastModifiedBy>
  <cp:revision>9</cp:revision>
  <dcterms:created xsi:type="dcterms:W3CDTF">2018-02-09T08:40:00Z</dcterms:created>
  <dcterms:modified xsi:type="dcterms:W3CDTF">2018-03-28T13:51:00Z</dcterms:modified>
</cp:coreProperties>
</file>